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326248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FA3948" w:rsidRPr="00532B2C" w:rsidRDefault="00FA39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28 июля 2021 г.                                         </w:t>
      </w:r>
      <w:r w:rsidR="00FA39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A39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666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3948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31.08.19 Педиатрия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изменений от 28 июля 2022 г. № 665,</w:t>
      </w:r>
      <w:r w:rsidRPr="00532B2C">
        <w:rPr>
          <w:rFonts w:ascii="Times New Roman" w:hAnsi="Times New Roman" w:cs="Times New Roman"/>
          <w:sz w:val="24"/>
          <w:szCs w:val="24"/>
        </w:rPr>
        <w:t xml:space="preserve"> </w:t>
      </w:r>
      <w:r w:rsidRPr="00532B2C">
        <w:rPr>
          <w:rFonts w:ascii="Times New Roman" w:hAnsi="Times New Roman" w:cs="Times New Roman"/>
          <w:i/>
          <w:sz w:val="24"/>
          <w:szCs w:val="24"/>
        </w:rPr>
        <w:t>14 мая 2024 г. № 471</w:t>
      </w:r>
      <w:r w:rsidR="00D60DAB">
        <w:rPr>
          <w:rFonts w:ascii="Times New Roman" w:hAnsi="Times New Roman" w:cs="Times New Roman"/>
          <w:i/>
          <w:sz w:val="24"/>
          <w:szCs w:val="24"/>
        </w:rPr>
        <w:t>, 17 января 2025 г., № 33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31.08.19 Педиатрия согласно Приложению к настоящему Приказу.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               </w:t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  </w:t>
      </w:r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</w:t>
      </w:r>
      <w:proofErr w:type="gramEnd"/>
      <w:r w:rsidRPr="00532B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Солдатова</w:t>
      </w:r>
    </w:p>
    <w:p w:rsidR="00326248" w:rsidRPr="00532B2C" w:rsidRDefault="00326248" w:rsidP="00532B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666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по специальности 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31.08.19 Педиатрия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31.08.19 Педиатрия (далее соответственно - программа ординатуры, специальность).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60DAB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родители (законные представители) пациентов (далее - родители (законные представители));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население;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направленных на создание условий для охраны здоровья граждан.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педиатрической медицинской помощи - ПК6;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«Врач–педиатр»: 3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C868CE"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C868CE" w:rsidRPr="00532B2C" w:rsidRDefault="00C868CE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D6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C868CE" w:rsidRPr="00532B2C" w:rsidRDefault="00C868CE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326248" w:rsidRPr="00532B2C" w:rsidRDefault="00C868CE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</w:t>
      </w:r>
      <w:r w:rsidR="00532B2C"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326248" w:rsidRPr="00532B2C" w:rsidRDefault="00326248" w:rsidP="00D60D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CB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CB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CB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CB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CB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CB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DAB" w:rsidRPr="00D6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набор и укладка для экстренных профилактических и лечебных мероприятий, электрокардиограф, облучатель бактерицидный, электронные весы для детей до года, пособия для оценки психофизического развития ребенка, аппарат для измерения артериального давления с детскими манжетками, </w:t>
      </w:r>
      <w:proofErr w:type="spell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пеленальный</w:t>
      </w:r>
      <w:proofErr w:type="spell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стол, сантиметровые ленты)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F31CF" w:rsidRPr="00532B2C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326248" w:rsidRPr="00532B2C" w:rsidRDefault="00326248" w:rsidP="00532B2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31.08.19 Педиатрия</w:t>
      </w:r>
    </w:p>
    <w:p w:rsidR="008F31CF" w:rsidRDefault="008F31CF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57D6" w:rsidRPr="00532B2C" w:rsidRDefault="002157D6" w:rsidP="00532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26248" w:rsidRDefault="00326248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2157D6" w:rsidRPr="00532B2C" w:rsidRDefault="002157D6" w:rsidP="00532B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7"/>
        <w:gridCol w:w="3773"/>
      </w:tblGrid>
      <w:tr w:rsidR="002157D6" w:rsidRPr="002157D6" w:rsidTr="00B70D1B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57D6" w:rsidRPr="002157D6" w:rsidTr="00B70D1B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2157D6" w:rsidRPr="002157D6" w:rsidTr="00B70D1B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2157D6" w:rsidRPr="002157D6" w:rsidTr="00B70D1B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2157D6" w:rsidRPr="002157D6" w:rsidTr="00B70D1B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2157D6" w:rsidRPr="002157D6" w:rsidTr="00B70D1B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2157D6" w:rsidRPr="002157D6" w:rsidTr="00B70D1B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57D6" w:rsidRPr="002157D6" w:rsidTr="00B70D1B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57D6" w:rsidRPr="002157D6" w:rsidTr="00B70D1B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7D6" w:rsidRPr="002157D6" w:rsidRDefault="002157D6" w:rsidP="0021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446C5C" w:rsidRPr="00532B2C" w:rsidRDefault="00446C5C" w:rsidP="00532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248" w:rsidRPr="00532B2C" w:rsidRDefault="00326248" w:rsidP="00532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6248" w:rsidRPr="0053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75"/>
    <w:rsid w:val="000377E2"/>
    <w:rsid w:val="000A2F75"/>
    <w:rsid w:val="002157D6"/>
    <w:rsid w:val="00326248"/>
    <w:rsid w:val="00446C5C"/>
    <w:rsid w:val="004A7B3E"/>
    <w:rsid w:val="00532B2C"/>
    <w:rsid w:val="008F31CF"/>
    <w:rsid w:val="00AD6694"/>
    <w:rsid w:val="00C868CE"/>
    <w:rsid w:val="00CB75F7"/>
    <w:rsid w:val="00CD4A0C"/>
    <w:rsid w:val="00D60DAB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F82C"/>
  <w15:chartTrackingRefBased/>
  <w15:docId w15:val="{CDAA00B3-3028-4FE1-9AD0-B109D378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11</cp:revision>
  <dcterms:created xsi:type="dcterms:W3CDTF">2024-06-18T12:53:00Z</dcterms:created>
  <dcterms:modified xsi:type="dcterms:W3CDTF">2025-02-27T13:23:00Z</dcterms:modified>
</cp:coreProperties>
</file>