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5A" w:rsidRDefault="004C4C5A" w:rsidP="004C4C5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4C4C5A">
        <w:rPr>
          <w:rFonts w:ascii="Times New Roman" w:eastAsia="Times New Roman" w:hAnsi="Times New Roman" w:cs="Times New Roman"/>
          <w:bCs/>
          <w:color w:val="000000" w:themeColor="text1"/>
          <w:sz w:val="24"/>
          <w:szCs w:val="24"/>
          <w:lang w:eastAsia="ru-RU"/>
        </w:rPr>
        <w:t xml:space="preserve">Приказ </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4C4C5A">
        <w:rPr>
          <w:rFonts w:ascii="Times New Roman" w:eastAsia="Times New Roman" w:hAnsi="Times New Roman" w:cs="Times New Roman"/>
          <w:bCs/>
          <w:color w:val="000000" w:themeColor="text1"/>
          <w:sz w:val="24"/>
          <w:szCs w:val="24"/>
          <w:lang w:eastAsia="ru-RU"/>
        </w:rPr>
        <w:t xml:space="preserve">Министерства просвещения </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r w:rsidRPr="004C4C5A">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26 января 2022 г.                                                                                                    </w:t>
      </w:r>
      <w:r w:rsidRPr="004C4C5A">
        <w:rPr>
          <w:rFonts w:ascii="Times New Roman" w:eastAsia="Times New Roman" w:hAnsi="Times New Roman" w:cs="Times New Roman"/>
          <w:color w:val="000000" w:themeColor="text1"/>
          <w:sz w:val="24"/>
          <w:szCs w:val="24"/>
          <w:lang w:eastAsia="ru-RU"/>
        </w:rPr>
        <w:t>№ 58</w:t>
      </w:r>
    </w:p>
    <w:p w:rsidR="004C4C5A" w:rsidRP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Об утверждении и введении в действие Государственного образовательного стандарта послевузовского профессионального образования - ординатуры </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по специальности 31.08.12 Функциональная диагностика</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Pr="008844B0" w:rsidRDefault="004C4C5A" w:rsidP="004C4C5A">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r w:rsidRPr="008844B0">
        <w:rPr>
          <w:rFonts w:ascii="Times New Roman" w:eastAsia="Times New Roman" w:hAnsi="Times New Roman" w:cs="Times New Roman"/>
          <w:i/>
          <w:color w:val="000000" w:themeColor="text1"/>
          <w:sz w:val="24"/>
          <w:szCs w:val="24"/>
          <w:lang w:eastAsia="ru-RU"/>
        </w:rPr>
        <w:t>Текст нижеприведенной редакции подготовлен</w:t>
      </w:r>
    </w:p>
    <w:p w:rsidR="00D37227" w:rsidRDefault="004C4C5A" w:rsidP="00D37227">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r w:rsidRPr="008844B0">
        <w:rPr>
          <w:rFonts w:ascii="Times New Roman" w:eastAsia="Times New Roman" w:hAnsi="Times New Roman" w:cs="Times New Roman"/>
          <w:i/>
          <w:color w:val="000000" w:themeColor="text1"/>
          <w:sz w:val="24"/>
          <w:szCs w:val="24"/>
          <w:lang w:eastAsia="ru-RU"/>
        </w:rPr>
        <w:t xml:space="preserve">с учетом изменений </w:t>
      </w:r>
      <w:r>
        <w:rPr>
          <w:rFonts w:ascii="Times New Roman" w:eastAsia="Times New Roman" w:hAnsi="Times New Roman" w:cs="Times New Roman"/>
          <w:i/>
          <w:color w:val="000000" w:themeColor="text1"/>
          <w:sz w:val="24"/>
          <w:szCs w:val="24"/>
          <w:lang w:eastAsia="ru-RU"/>
        </w:rPr>
        <w:t>от 28 июля 2022 г. № 665, 10 мая 2024 г. № 458</w:t>
      </w:r>
      <w:r w:rsidR="00D37227">
        <w:rPr>
          <w:rFonts w:ascii="Times New Roman" w:eastAsia="Times New Roman" w:hAnsi="Times New Roman" w:cs="Times New Roman"/>
          <w:i/>
          <w:color w:val="000000" w:themeColor="text1"/>
          <w:sz w:val="24"/>
          <w:szCs w:val="24"/>
          <w:lang w:eastAsia="ru-RU"/>
        </w:rPr>
        <w:t xml:space="preserve">, </w:t>
      </w:r>
    </w:p>
    <w:p w:rsidR="004C4C5A" w:rsidRPr="008844B0" w:rsidRDefault="00D37227" w:rsidP="00D37227">
      <w:pPr>
        <w:shd w:val="clear" w:color="auto" w:fill="FFFFFF"/>
        <w:spacing w:after="0" w:line="240" w:lineRule="auto"/>
        <w:ind w:firstLine="360"/>
        <w:jc w:val="center"/>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11 января 2025 г.</w:t>
      </w:r>
      <w:r w:rsidR="00DE5E41">
        <w:rPr>
          <w:rFonts w:ascii="Times New Roman" w:eastAsia="Times New Roman" w:hAnsi="Times New Roman" w:cs="Times New Roman"/>
          <w:i/>
          <w:color w:val="000000" w:themeColor="text1"/>
          <w:sz w:val="24"/>
          <w:szCs w:val="24"/>
          <w:lang w:eastAsia="ru-RU"/>
        </w:rPr>
        <w:t xml:space="preserve"> </w:t>
      </w:r>
      <w:r w:rsidRPr="00D37227">
        <w:rPr>
          <w:rFonts w:ascii="Times New Roman" w:eastAsia="Times New Roman" w:hAnsi="Times New Roman" w:cs="Times New Roman"/>
          <w:i/>
          <w:color w:val="000000" w:themeColor="text1"/>
          <w:sz w:val="24"/>
          <w:szCs w:val="24"/>
          <w:lang w:eastAsia="ru-RU"/>
        </w:rPr>
        <w:t>№ 13</w:t>
      </w:r>
      <w:r w:rsidRPr="00D37227">
        <w:rPr>
          <w:rFonts w:ascii="Times New Roman" w:eastAsia="Times New Roman" w:hAnsi="Times New Roman" w:cs="Times New Roman"/>
          <w:i/>
          <w:color w:val="000000" w:themeColor="text1"/>
          <w:sz w:val="24"/>
          <w:szCs w:val="24"/>
          <w:lang w:eastAsia="ru-RU"/>
        </w:rPr>
        <w:cr/>
      </w:r>
      <w:bookmarkStart w:id="0" w:name="_GoBack"/>
      <w:bookmarkEnd w:id="0"/>
    </w:p>
    <w:p w:rsidR="004C4C5A" w:rsidRP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13 апреля 2009 года № 721-З-IV «О высшем и послевузовском профессиональном образовании» (САЗ 09-16),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от 13 августа 2021 года № 269 (САЗ 21-33), от 31 августа 2021 года № 286 (САЗ 21-35), Постановлением Правительства Приднестровской Молдавской Республики от 30 мая 2016 года № 125 «Об утверждении Порядка разработки, утверждения государственных образовательных стандартов и внесения в них изменений» (САЗ 16-22), Приказом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(САЗ 18-4) с изменениями и дополнениями, внесенными приказами Министерства просвещения Приднестровской Молдавской Республики от 26 июля 2018 года № 698 (САЗ 18-32), от 9 октября 2019 года № 875 (САЗ 19-46), от 19 мая 2020 года № 450 (САЗ 20-23), приказываю:</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Утвердить Государственный образовательный стандарт послевузовского профессионального образования - ординатуры по специальности 31.08.12 Функциональная диагностика согласно Приложению к настоящему Приказу.</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Контроль за исполнением настоящего Приказа оставляю за собой.</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4. Настоящий Приказ вступает в силу со дня, следующего за днем его официального опубликования.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r w:rsidRPr="004C4C5A">
        <w:rPr>
          <w:rFonts w:ascii="Times New Roman" w:eastAsia="Times New Roman" w:hAnsi="Times New Roman" w:cs="Times New Roman"/>
          <w:bCs/>
          <w:color w:val="000000" w:themeColor="text1"/>
          <w:sz w:val="24"/>
          <w:szCs w:val="24"/>
          <w:lang w:eastAsia="ru-RU"/>
        </w:rPr>
        <w:t>Министр </w:t>
      </w:r>
      <w:r w:rsidRPr="004C4C5A">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                                                                                              </w:t>
      </w:r>
      <w:r w:rsidRPr="004C4C5A">
        <w:rPr>
          <w:rFonts w:ascii="Times New Roman" w:eastAsia="Times New Roman" w:hAnsi="Times New Roman" w:cs="Times New Roman"/>
          <w:color w:val="000000" w:themeColor="text1"/>
          <w:sz w:val="24"/>
          <w:szCs w:val="24"/>
          <w:lang w:eastAsia="ru-RU"/>
        </w:rPr>
        <w:t>     </w:t>
      </w:r>
      <w:r w:rsidRPr="004C4C5A">
        <w:rPr>
          <w:rFonts w:ascii="Times New Roman" w:eastAsia="Times New Roman" w:hAnsi="Times New Roman" w:cs="Times New Roman"/>
          <w:bCs/>
          <w:color w:val="000000" w:themeColor="text1"/>
          <w:sz w:val="24"/>
          <w:szCs w:val="24"/>
          <w:lang w:eastAsia="ru-RU"/>
        </w:rPr>
        <w:t>С. Иванишина</w:t>
      </w:r>
    </w:p>
    <w:p w:rsidR="004C4C5A" w:rsidRDefault="004C4C5A">
      <w:pP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br w:type="page"/>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left="4536"/>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Приложение</w:t>
      </w:r>
    </w:p>
    <w:p w:rsidR="004C4C5A" w:rsidRPr="004C4C5A" w:rsidRDefault="004C4C5A" w:rsidP="004C4C5A">
      <w:pPr>
        <w:shd w:val="clear" w:color="auto" w:fill="FFFFFF"/>
        <w:spacing w:after="0" w:line="240" w:lineRule="auto"/>
        <w:ind w:left="4536"/>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к Приказу Министерства просвещения</w:t>
      </w:r>
    </w:p>
    <w:p w:rsidR="004C4C5A" w:rsidRPr="004C4C5A" w:rsidRDefault="004C4C5A" w:rsidP="004C4C5A">
      <w:pPr>
        <w:shd w:val="clear" w:color="auto" w:fill="FFFFFF"/>
        <w:spacing w:after="0" w:line="240" w:lineRule="auto"/>
        <w:ind w:left="4536"/>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4C4C5A" w:rsidRPr="004C4C5A" w:rsidRDefault="004C4C5A" w:rsidP="004C4C5A">
      <w:pPr>
        <w:shd w:val="clear" w:color="auto" w:fill="FFFFFF"/>
        <w:spacing w:after="0" w:line="240" w:lineRule="auto"/>
        <w:ind w:left="4536"/>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от 26 января 2022 года № 58</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Государственный образовательный стандарт</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послевузовского профессионального образования </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по специальности 31.08.12 Функциональная диагностика</w:t>
      </w:r>
    </w:p>
    <w:p w:rsidR="004C4C5A" w:rsidRP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Область применения</w:t>
      </w:r>
    </w:p>
    <w:p w:rsidR="004C4C5A" w:rsidRP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Настоящий Государственный образовательный стандарт представляет собой совокупность требований, обязательных при реализации образовательной программы ординатуры по специальности 31.08.12 Функциональная диагностика (далее соответственно - программа ординатуры, специальность).</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Используемые сокращения</w:t>
      </w:r>
    </w:p>
    <w:p w:rsidR="004C4C5A" w:rsidRP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В настоящем Государственном образовательном стандарте используются следующие сокращения: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УК - универсальные компетенции;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ПК - профессиональные компетенции;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ГОС - государственный образовательный стандарт;</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г) сетевая форма - сетевая форма реализации образовательных программ;</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д)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 - зачетная единица, которая соответствует 36 (тридцати шести) академическим часам или 27 (двадцати семи) астрономическим часам.</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Характеристика специальности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Обучение по программе ординатуры в организациях образования (далее – организация) осуществляется в очной форме.</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4. Объем программы ординатуры составляет 120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5. Срок получения образования по программе ординатуры, включая каникулы, предоставляемые после прохождения итоговой государственной аттестации, вне зависимости от применяемых образовательных технологий, составляет 2 (два) года.</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6. Объем программы ординатуры, реализуемый за 1(один) учебный год, составляет 60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 xml:space="preserve">. 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7.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8. Реализация программы ординатуры возможна с использованием сетевой формы.</w:t>
      </w:r>
    </w:p>
    <w:p w:rsidR="003479C4" w:rsidRDefault="003479C4"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3479C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4. Характеристика профессиональной деятельности выпускников, освоивших программу ординатуры</w:t>
      </w:r>
    </w:p>
    <w:p w:rsidR="003479C4" w:rsidRPr="004C4C5A" w:rsidRDefault="003479C4" w:rsidP="003479C4">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9.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10. Объектами профессиональной деятельности выпускников, освоивших программу ординатуры, являются: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физические лица (пациенты) в возрасте от 0 до 15 лет, от 15 до 18 лет (далее - подростки) и в возрасте старше 18 лет (далее - взрослые);</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население;</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совокупность средств и технологий, направленных на создание условий для охраны здоровья граждан.</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11. Виды профессиональной деятельности, к которым готовятся выпускники, освоившие программу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профилактическая;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диагностическая;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психолого-педагогическая;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г) организационно-управленческая.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12. Программа ординатуры направлена на освоение всех видов профессиональной деятельности, к которым готовится выпускник.</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13. Выпускник, освоивший программу ординатуры, готов решать следующие профессиональные задачи: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профилактическая деятельность:</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предупреждение возникновения заболеваний среди населения путем проведения профилактических и противоэпидемических мероприятий;</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проведение профилактических медицинских осмотров, диспансеризации, диспансерного наблюдения;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диагностическая деятельность - диагностика заболеваний и патологических состояний пациентов на основе владения функциональными методами исследования;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психолого-педагогическая деятельность - 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г) организационно-управленческая деятельность:</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применение основных принципов организации оказания медицинской помощи в медицинских организациях и их структурных подразделениях;</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организация и управление деятельностью медицинских организаций и их структурных подразделений;</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организация проведения медицинской экспертизы;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4) организация оценки качества оказания медицинской помощи пациентам;</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5) ведение учетно-отчетной документации в медицинской организации и ее структурных подразделениях;</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lastRenderedPageBreak/>
        <w:t>6)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7) соблюдение основных требований информационной безопасности.</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5. Требования к результатам освоения программы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14. В результате освоения программы ординатуры у выпускника должны быть сформированы универсальные и профессиональные компетенции.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15. Выпускник, освоивший программу ординатуры, должен обладать следующими универсальными компетенциями: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готовностью к абстрактному мышлению, анализу, синтезу -УК1;</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готовностью к управлению коллективом, толерантно воспринимать социальные, этнические, конфессионал</w:t>
      </w:r>
      <w:r>
        <w:rPr>
          <w:rFonts w:ascii="Times New Roman" w:eastAsia="Times New Roman" w:hAnsi="Times New Roman" w:cs="Times New Roman"/>
          <w:color w:val="000000" w:themeColor="text1"/>
          <w:sz w:val="24"/>
          <w:szCs w:val="24"/>
          <w:lang w:eastAsia="ru-RU"/>
        </w:rPr>
        <w:t>ьные и культурные различия -УК2.</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16. Выпускник, освоивший программу ординатуры, должен обладать профессиональными компетенциями: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профилактическая деятельность:</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4) 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 -ПК4;</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диагностическая деятельность:</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-ПК5;</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готовность к применению методов функциональной диагностики и интерпретации их результатов - ПК6;</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психолого-педагогическая деятельность -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-ПК7;</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г) организационно-управленческая деятельность:</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-ПК8;</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готовность к участию в оценке качества оказания медицинской помощи с использованием основных медико-статистических показателей -ПК9;</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готовность к организации медицинской помощи при чрезвычайных ситуациях, в том числе медицинской эвакуации -ПК10.</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17.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18.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19.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 (при наличии).</w:t>
      </w: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6. Требования к структуре программы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20. Структура программы ординатуры согласно Приложению к настоящему ГОС включает обязательную часть (базовую) и часть, формируемую участниками образовательных отношений (вариативную):</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а) 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 18-32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 xml:space="preserve">. (базовая часть: 14 - 24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 xml:space="preserve">., вариативная часть: 4-9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б) </w:t>
      </w:r>
      <w:r w:rsidR="00D37227" w:rsidRPr="00D37227">
        <w:rPr>
          <w:rFonts w:ascii="Times New Roman" w:eastAsia="Times New Roman" w:hAnsi="Times New Roman" w:cs="Times New Roman"/>
          <w:color w:val="000000" w:themeColor="text1"/>
          <w:sz w:val="24"/>
          <w:szCs w:val="24"/>
          <w:lang w:eastAsia="ru-RU"/>
        </w:rPr>
        <w:t>«б) Блок 2 «Практики», относящийся к базов</w:t>
      </w:r>
      <w:r w:rsidR="00D37227">
        <w:rPr>
          <w:rFonts w:ascii="Times New Roman" w:eastAsia="Times New Roman" w:hAnsi="Times New Roman" w:cs="Times New Roman"/>
          <w:color w:val="000000" w:themeColor="text1"/>
          <w:sz w:val="24"/>
          <w:szCs w:val="24"/>
          <w:lang w:eastAsia="ru-RU"/>
        </w:rPr>
        <w:t xml:space="preserve">ой части программы: 85-99 </w:t>
      </w:r>
      <w:proofErr w:type="spellStart"/>
      <w:r w:rsidR="00D37227">
        <w:rPr>
          <w:rFonts w:ascii="Times New Roman" w:eastAsia="Times New Roman" w:hAnsi="Times New Roman" w:cs="Times New Roman"/>
          <w:color w:val="000000" w:themeColor="text1"/>
          <w:sz w:val="24"/>
          <w:szCs w:val="24"/>
          <w:lang w:eastAsia="ru-RU"/>
        </w:rPr>
        <w:t>з.е</w:t>
      </w:r>
      <w:proofErr w:type="spellEnd"/>
      <w:r w:rsidR="00D37227">
        <w:rPr>
          <w:rFonts w:ascii="Times New Roman" w:eastAsia="Times New Roman" w:hAnsi="Times New Roman" w:cs="Times New Roman"/>
          <w:color w:val="000000" w:themeColor="text1"/>
          <w:sz w:val="24"/>
          <w:szCs w:val="24"/>
          <w:lang w:eastAsia="ru-RU"/>
        </w:rPr>
        <w:t>.</w:t>
      </w:r>
      <w:r w:rsidRPr="004C4C5A">
        <w:rPr>
          <w:rFonts w:ascii="Times New Roman" w:eastAsia="Times New Roman" w:hAnsi="Times New Roman" w:cs="Times New Roman"/>
          <w:color w:val="000000" w:themeColor="text1"/>
          <w:sz w:val="24"/>
          <w:szCs w:val="24"/>
          <w:lang w:eastAsia="ru-RU"/>
        </w:rPr>
        <w:t>;</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в) Блок 3 «Итоговая государственная аттестация», который в полном объеме относится к базовой части программы и завершается присвоением квалификации «Врач - функциональный диагност»: 3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 xml:space="preserve">. (базовая часть: 3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21. Общий объем образовательной программы ординатуры составляет 120 </w:t>
      </w:r>
      <w:proofErr w:type="spellStart"/>
      <w:r w:rsidRPr="004C4C5A">
        <w:rPr>
          <w:rFonts w:ascii="Times New Roman" w:eastAsia="Times New Roman" w:hAnsi="Times New Roman" w:cs="Times New Roman"/>
          <w:color w:val="000000" w:themeColor="text1"/>
          <w:sz w:val="24"/>
          <w:szCs w:val="24"/>
          <w:lang w:eastAsia="ru-RU"/>
        </w:rPr>
        <w:t>з.е</w:t>
      </w:r>
      <w:proofErr w:type="spellEnd"/>
      <w:r w:rsidRPr="004C4C5A">
        <w:rPr>
          <w:rFonts w:ascii="Times New Roman" w:eastAsia="Times New Roman" w:hAnsi="Times New Roman" w:cs="Times New Roman"/>
          <w:color w:val="000000" w:themeColor="text1"/>
          <w:sz w:val="24"/>
          <w:szCs w:val="24"/>
          <w:lang w:eastAsia="ru-RU"/>
        </w:rPr>
        <w:t>.</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22.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ГОС, с учетом соответствующей (соответствующих) примерной (примерных) основной (основных) образовательной (образовательных) программы (программ) (при наличии).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23. Дисциплины (модули) по общественному здоровью и здравоохранению, педагогике,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24.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25. 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ГОС. После выбора обучающимся дисциплин (модулей) и практик вариативной части они становятся обязательными для освоения обучающимся.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26. В Блок 2 «Практики» входит производственная (клиническая) практика. Способы проведения производственной (клинической) практики: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стационарная;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выездная.</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Практика реализуется в медицинских организациях, являющихся клиническими (учебными) базами, на основании заключенного договора между организацией образования и медицинской организацией, путем участия ординатора в оказании медицинской помощи гражданам в соответствии с программой ординатуры под контролем медицинского персонала, несущего ответственность за их профессиональную подготовку.</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27. В Блок 3 «Итоговая государственная аттестация» входит подготовка и сдача государственного экзамена.</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29. Количество часов, отведенных на занятия лекционного типа в целом по Блоку 1 «Дисциплины (модули)» должно составлять не </w:t>
      </w:r>
      <w:r>
        <w:rPr>
          <w:rFonts w:ascii="Times New Roman" w:eastAsia="Times New Roman" w:hAnsi="Times New Roman" w:cs="Times New Roman"/>
          <w:color w:val="000000" w:themeColor="text1"/>
          <w:sz w:val="24"/>
          <w:szCs w:val="24"/>
          <w:lang w:eastAsia="ru-RU"/>
        </w:rPr>
        <w:t>менее</w:t>
      </w:r>
      <w:r w:rsidRPr="004C4C5A">
        <w:rPr>
          <w:rFonts w:ascii="Times New Roman" w:eastAsia="Times New Roman" w:hAnsi="Times New Roman" w:cs="Times New Roman"/>
          <w:color w:val="000000" w:themeColor="text1"/>
          <w:sz w:val="24"/>
          <w:szCs w:val="24"/>
          <w:lang w:eastAsia="ru-RU"/>
        </w:rPr>
        <w:t xml:space="preserve"> 15 процентов от общего количества часов аудиторных занятий, отведенных на реализацию данного Блока.</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7. Требования к условиям реализации программ ординатуры</w:t>
      </w:r>
    </w:p>
    <w:p w:rsidR="004C4C5A" w:rsidRP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30. Общесистемные требования к реализации программы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Электронно-библиотечная система (электронная библиотека) и электронная информационно-образовательная среда должна обеспечивать возможность доступа, обучающегося из любой точки, в которой имеется доступ к глобальной сети Интернет (далее - сеть Интернет), как на территории организации, так и вне ее.</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Электронная информационно-образовательная среда организации должна обеспечивать:</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1)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2) фиксацию хода образовательного процесса, результатов промежуточной аттестации и результатов освоения основной образовательной программы;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4)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5)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г)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д) д) квалификация руководящих и научно-педагогических работников организации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должна соответствовать квалификационным характеристикам, установленным</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квалификационными требованиями к работникам образования, согласно Единому</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квалификационному справочнику должностей руководи</w:t>
      </w:r>
      <w:r>
        <w:rPr>
          <w:rFonts w:ascii="Times New Roman" w:eastAsia="Times New Roman" w:hAnsi="Times New Roman" w:cs="Times New Roman"/>
          <w:color w:val="000000" w:themeColor="text1"/>
          <w:sz w:val="24"/>
          <w:szCs w:val="24"/>
          <w:lang w:eastAsia="ru-RU"/>
        </w:rPr>
        <w:t xml:space="preserve">телей, специалистов и служащих, </w:t>
      </w:r>
      <w:r w:rsidRPr="004C4C5A">
        <w:rPr>
          <w:rFonts w:ascii="Times New Roman" w:eastAsia="Times New Roman" w:hAnsi="Times New Roman" w:cs="Times New Roman"/>
          <w:color w:val="000000" w:themeColor="text1"/>
          <w:sz w:val="24"/>
          <w:szCs w:val="24"/>
          <w:lang w:eastAsia="ru-RU"/>
        </w:rPr>
        <w:t>раздел: «Квалификационные характеристики должностей работников образования»</w:t>
      </w:r>
      <w:r>
        <w:rPr>
          <w:rFonts w:ascii="Times New Roman" w:eastAsia="Times New Roman" w:hAnsi="Times New Roman" w:cs="Times New Roman"/>
          <w:color w:val="000000" w:themeColor="text1"/>
          <w:sz w:val="24"/>
          <w:szCs w:val="24"/>
          <w:lang w:eastAsia="ru-RU"/>
        </w:rPr>
        <w:t>.</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31. Требования к кадровым условиям реализации программ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w:t>
      </w:r>
    </w:p>
    <w:p w:rsidR="004C4C5A" w:rsidRPr="004C4C5A" w:rsidRDefault="00D37227"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D37227">
        <w:rPr>
          <w:rFonts w:ascii="Times New Roman" w:eastAsia="Times New Roman" w:hAnsi="Times New Roman" w:cs="Times New Roman"/>
          <w:color w:val="000000" w:themeColor="text1"/>
          <w:sz w:val="24"/>
          <w:szCs w:val="24"/>
          <w:lang w:eastAsia="ru-RU"/>
        </w:rPr>
        <w:t>б)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Приднестровской Молдавской Республике) и (или) ученое звание (в том числе ученое звание, полученное за рубежом и признаваемое в Приднестровской Молдавской Республике), и (или) имеющих первую или высшую профессиональную категорию врача-специалиста в общем числе научно-педагогических работников, реализующих программу ординатуры, должна быть не менее 55 процентов.</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32.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а) аудитории, оборудованные мультимедийными и иными средствами обучения, позволяющими использовать </w:t>
      </w:r>
      <w:proofErr w:type="spellStart"/>
      <w:r w:rsidRPr="004C4C5A">
        <w:rPr>
          <w:rFonts w:ascii="Times New Roman" w:eastAsia="Times New Roman" w:hAnsi="Times New Roman" w:cs="Times New Roman"/>
          <w:color w:val="000000" w:themeColor="text1"/>
          <w:sz w:val="24"/>
          <w:szCs w:val="24"/>
          <w:lang w:eastAsia="ru-RU"/>
        </w:rPr>
        <w:t>симуляционные</w:t>
      </w:r>
      <w:proofErr w:type="spellEnd"/>
      <w:r w:rsidRPr="004C4C5A">
        <w:rPr>
          <w:rFonts w:ascii="Times New Roman" w:eastAsia="Times New Roman" w:hAnsi="Times New Roman" w:cs="Times New Roman"/>
          <w:color w:val="000000" w:themeColor="text1"/>
          <w:sz w:val="24"/>
          <w:szCs w:val="24"/>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 xml:space="preserve">б) 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(спирограф, </w:t>
      </w:r>
      <w:proofErr w:type="spellStart"/>
      <w:r w:rsidRPr="004C4C5A">
        <w:rPr>
          <w:rFonts w:ascii="Times New Roman" w:eastAsia="Times New Roman" w:hAnsi="Times New Roman" w:cs="Times New Roman"/>
          <w:color w:val="000000" w:themeColor="text1"/>
          <w:sz w:val="24"/>
          <w:szCs w:val="24"/>
          <w:lang w:eastAsia="ru-RU"/>
        </w:rPr>
        <w:t>сфинктерометр</w:t>
      </w:r>
      <w:proofErr w:type="spellEnd"/>
      <w:r w:rsidRPr="004C4C5A">
        <w:rPr>
          <w:rFonts w:ascii="Times New Roman" w:eastAsia="Times New Roman" w:hAnsi="Times New Roman" w:cs="Times New Roman"/>
          <w:color w:val="000000" w:themeColor="text1"/>
          <w:sz w:val="24"/>
          <w:szCs w:val="24"/>
          <w:lang w:eastAsia="ru-RU"/>
        </w:rPr>
        <w:t xml:space="preserve">, </w:t>
      </w:r>
      <w:proofErr w:type="spellStart"/>
      <w:r w:rsidRPr="004C4C5A">
        <w:rPr>
          <w:rFonts w:ascii="Times New Roman" w:eastAsia="Times New Roman" w:hAnsi="Times New Roman" w:cs="Times New Roman"/>
          <w:color w:val="000000" w:themeColor="text1"/>
          <w:sz w:val="24"/>
          <w:szCs w:val="24"/>
          <w:lang w:eastAsia="ru-RU"/>
        </w:rPr>
        <w:t>электромиограф</w:t>
      </w:r>
      <w:proofErr w:type="spellEnd"/>
      <w:r w:rsidRPr="004C4C5A">
        <w:rPr>
          <w:rFonts w:ascii="Times New Roman" w:eastAsia="Times New Roman" w:hAnsi="Times New Roman" w:cs="Times New Roman"/>
          <w:color w:val="000000" w:themeColor="text1"/>
          <w:sz w:val="24"/>
          <w:szCs w:val="24"/>
          <w:lang w:eastAsia="ru-RU"/>
        </w:rPr>
        <w:t xml:space="preserve">, система для аноректальной </w:t>
      </w:r>
      <w:proofErr w:type="spellStart"/>
      <w:r w:rsidRPr="004C4C5A">
        <w:rPr>
          <w:rFonts w:ascii="Times New Roman" w:eastAsia="Times New Roman" w:hAnsi="Times New Roman" w:cs="Times New Roman"/>
          <w:color w:val="000000" w:themeColor="text1"/>
          <w:sz w:val="24"/>
          <w:szCs w:val="24"/>
          <w:lang w:eastAsia="ru-RU"/>
        </w:rPr>
        <w:t>манометрии</w:t>
      </w:r>
      <w:proofErr w:type="spellEnd"/>
      <w:r w:rsidRPr="004C4C5A">
        <w:rPr>
          <w:rFonts w:ascii="Times New Roman" w:eastAsia="Times New Roman" w:hAnsi="Times New Roman" w:cs="Times New Roman"/>
          <w:color w:val="000000" w:themeColor="text1"/>
          <w:sz w:val="24"/>
          <w:szCs w:val="24"/>
          <w:lang w:eastAsia="ru-RU"/>
        </w:rPr>
        <w:t xml:space="preserve">, </w:t>
      </w:r>
      <w:proofErr w:type="spellStart"/>
      <w:r w:rsidRPr="004C4C5A">
        <w:rPr>
          <w:rFonts w:ascii="Times New Roman" w:eastAsia="Times New Roman" w:hAnsi="Times New Roman" w:cs="Times New Roman"/>
          <w:color w:val="000000" w:themeColor="text1"/>
          <w:sz w:val="24"/>
          <w:szCs w:val="24"/>
          <w:lang w:eastAsia="ru-RU"/>
        </w:rPr>
        <w:t>гастроскан</w:t>
      </w:r>
      <w:proofErr w:type="spellEnd"/>
      <w:r w:rsidRPr="004C4C5A">
        <w:rPr>
          <w:rFonts w:ascii="Times New Roman" w:eastAsia="Times New Roman" w:hAnsi="Times New Roman" w:cs="Times New Roman"/>
          <w:color w:val="000000" w:themeColor="text1"/>
          <w:sz w:val="24"/>
          <w:szCs w:val="24"/>
          <w:lang w:eastAsia="ru-RU"/>
        </w:rPr>
        <w:t xml:space="preserve">-Д, </w:t>
      </w:r>
      <w:proofErr w:type="spellStart"/>
      <w:r w:rsidRPr="004C4C5A">
        <w:rPr>
          <w:rFonts w:ascii="Times New Roman" w:eastAsia="Times New Roman" w:hAnsi="Times New Roman" w:cs="Times New Roman"/>
          <w:color w:val="000000" w:themeColor="text1"/>
          <w:sz w:val="24"/>
          <w:szCs w:val="24"/>
          <w:lang w:eastAsia="ru-RU"/>
        </w:rPr>
        <w:t>гастроскан</w:t>
      </w:r>
      <w:proofErr w:type="spellEnd"/>
      <w:r w:rsidRPr="004C4C5A">
        <w:rPr>
          <w:rFonts w:ascii="Times New Roman" w:eastAsia="Times New Roman" w:hAnsi="Times New Roman" w:cs="Times New Roman"/>
          <w:color w:val="000000" w:themeColor="text1"/>
          <w:sz w:val="24"/>
          <w:szCs w:val="24"/>
          <w:lang w:eastAsia="ru-RU"/>
        </w:rPr>
        <w:t xml:space="preserve"> ГЭМ)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случае применения электронного обучения, дистанционных образовательных технологий применяется соответствующее программное обеспечение, позволяющее обучающимся осваивать умения и навыки, предусмотренные профессиональной деятельностью.</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33. Организация должна быть обеспечена необходимым комплектом программного обеспечения (состав определяется в рабочих программах дисциплин (модулей) и подлежит ежегодному обновлению):</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а)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б)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в)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4C4C5A" w:rsidRDefault="004C4C5A">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br w:type="page"/>
      </w:r>
    </w:p>
    <w:p w:rsidR="004C4C5A" w:rsidRP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Pr="004C4C5A" w:rsidRDefault="004C4C5A" w:rsidP="004C4C5A">
      <w:pPr>
        <w:shd w:val="clear" w:color="auto" w:fill="FFFFFF"/>
        <w:spacing w:after="0" w:line="240" w:lineRule="auto"/>
        <w:ind w:left="4253"/>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Приложение</w:t>
      </w:r>
    </w:p>
    <w:p w:rsidR="004C4C5A" w:rsidRPr="004C4C5A" w:rsidRDefault="004C4C5A" w:rsidP="004C4C5A">
      <w:pPr>
        <w:shd w:val="clear" w:color="auto" w:fill="FFFFFF"/>
        <w:spacing w:after="0" w:line="240" w:lineRule="auto"/>
        <w:ind w:left="4253"/>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к Государственному образовательному</w:t>
      </w:r>
    </w:p>
    <w:p w:rsidR="004C4C5A" w:rsidRPr="004C4C5A" w:rsidRDefault="004C4C5A" w:rsidP="004C4C5A">
      <w:pPr>
        <w:shd w:val="clear" w:color="auto" w:fill="FFFFFF"/>
        <w:spacing w:after="0" w:line="240" w:lineRule="auto"/>
        <w:ind w:left="4253"/>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стандарту послевузовского профессионального</w:t>
      </w:r>
    </w:p>
    <w:p w:rsidR="004C4C5A" w:rsidRPr="004C4C5A" w:rsidRDefault="004C4C5A" w:rsidP="004C4C5A">
      <w:pPr>
        <w:shd w:val="clear" w:color="auto" w:fill="FFFFFF"/>
        <w:spacing w:after="0" w:line="240" w:lineRule="auto"/>
        <w:ind w:left="4253"/>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образования по специальности 31.08.12</w:t>
      </w:r>
    </w:p>
    <w:p w:rsidR="004C4C5A" w:rsidRPr="004C4C5A" w:rsidRDefault="004C4C5A" w:rsidP="004C4C5A">
      <w:pPr>
        <w:shd w:val="clear" w:color="auto" w:fill="FFFFFF"/>
        <w:spacing w:after="0" w:line="240" w:lineRule="auto"/>
        <w:ind w:left="4253"/>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Функциональная диагностика</w:t>
      </w:r>
    </w:p>
    <w:p w:rsidR="004C4C5A" w:rsidRDefault="004C4C5A" w:rsidP="004C4C5A">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4C4C5A" w:rsidRDefault="004C4C5A"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4C4C5A">
        <w:rPr>
          <w:rFonts w:ascii="Times New Roman" w:eastAsia="Times New Roman" w:hAnsi="Times New Roman" w:cs="Times New Roman"/>
          <w:color w:val="000000" w:themeColor="text1"/>
          <w:sz w:val="24"/>
          <w:szCs w:val="24"/>
          <w:lang w:eastAsia="ru-RU"/>
        </w:rPr>
        <w:t>Структура программы ординатуры</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0"/>
        <w:gridCol w:w="4016"/>
        <w:gridCol w:w="3773"/>
      </w:tblGrid>
      <w:tr w:rsidR="00325741" w:rsidRPr="00171731" w:rsidTr="0065270A">
        <w:trPr>
          <w:trHeight w:val="471"/>
          <w:jc w:val="center"/>
        </w:trPr>
        <w:tc>
          <w:tcPr>
            <w:tcW w:w="566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Структура программы ординатуры</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Объём программы ординатуры в </w:t>
            </w:r>
            <w:proofErr w:type="spellStart"/>
            <w:r w:rsidRPr="00171731">
              <w:rPr>
                <w:rFonts w:ascii="Times New Roman" w:eastAsia="Times New Roman" w:hAnsi="Times New Roman" w:cs="Times New Roman"/>
                <w:sz w:val="24"/>
                <w:szCs w:val="24"/>
                <w:lang w:eastAsia="ru-RU"/>
              </w:rPr>
              <w:t>з.е</w:t>
            </w:r>
            <w:proofErr w:type="spellEnd"/>
            <w:r w:rsidRPr="00171731">
              <w:rPr>
                <w:rFonts w:ascii="Times New Roman" w:eastAsia="Times New Roman" w:hAnsi="Times New Roman" w:cs="Times New Roman"/>
                <w:sz w:val="24"/>
                <w:szCs w:val="24"/>
                <w:lang w:eastAsia="ru-RU"/>
              </w:rPr>
              <w:t>.</w:t>
            </w:r>
          </w:p>
        </w:tc>
      </w:tr>
      <w:tr w:rsidR="00325741" w:rsidRPr="00171731" w:rsidTr="0065270A">
        <w:trPr>
          <w:trHeight w:val="379"/>
          <w:jc w:val="center"/>
        </w:trPr>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Блок 1</w:t>
            </w:r>
          </w:p>
        </w:tc>
        <w:tc>
          <w:tcPr>
            <w:tcW w:w="40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Дисциплины (модули)</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18-32</w:t>
            </w:r>
          </w:p>
        </w:tc>
      </w:tr>
      <w:tr w:rsidR="00325741" w:rsidRPr="00171731" w:rsidTr="0065270A">
        <w:trPr>
          <w:trHeight w:val="372"/>
          <w:jc w:val="center"/>
        </w:trPr>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p>
        </w:tc>
        <w:tc>
          <w:tcPr>
            <w:tcW w:w="40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Базовая часть</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14-24</w:t>
            </w:r>
          </w:p>
        </w:tc>
      </w:tr>
      <w:tr w:rsidR="00325741" w:rsidRPr="00171731" w:rsidTr="0065270A">
        <w:trPr>
          <w:trHeight w:val="391"/>
          <w:jc w:val="center"/>
        </w:trPr>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p>
        </w:tc>
        <w:tc>
          <w:tcPr>
            <w:tcW w:w="40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Вариативная часть</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4-9</w:t>
            </w:r>
          </w:p>
        </w:tc>
      </w:tr>
      <w:tr w:rsidR="00325741" w:rsidRPr="00171731" w:rsidTr="0065270A">
        <w:trPr>
          <w:trHeight w:val="369"/>
          <w:jc w:val="center"/>
        </w:trPr>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Блок 2</w:t>
            </w:r>
          </w:p>
        </w:tc>
        <w:tc>
          <w:tcPr>
            <w:tcW w:w="40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Практики</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85-99</w:t>
            </w:r>
          </w:p>
        </w:tc>
      </w:tr>
      <w:tr w:rsidR="00325741" w:rsidRPr="00171731" w:rsidTr="0065270A">
        <w:trPr>
          <w:trHeight w:val="389"/>
          <w:jc w:val="center"/>
        </w:trPr>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p>
        </w:tc>
        <w:tc>
          <w:tcPr>
            <w:tcW w:w="40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Базовая часть</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85-99</w:t>
            </w:r>
          </w:p>
        </w:tc>
      </w:tr>
      <w:tr w:rsidR="00325741" w:rsidRPr="00171731" w:rsidTr="0065270A">
        <w:trPr>
          <w:trHeight w:val="382"/>
          <w:jc w:val="center"/>
        </w:trPr>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Блок 3</w:t>
            </w:r>
          </w:p>
        </w:tc>
        <w:tc>
          <w:tcPr>
            <w:tcW w:w="40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Государственная итоговая аттестация</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3</w:t>
            </w:r>
          </w:p>
        </w:tc>
      </w:tr>
      <w:tr w:rsidR="00325741" w:rsidRPr="00171731" w:rsidTr="0065270A">
        <w:trPr>
          <w:trHeight w:val="373"/>
          <w:jc w:val="center"/>
        </w:trPr>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p>
        </w:tc>
        <w:tc>
          <w:tcPr>
            <w:tcW w:w="40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Базовая часть</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3</w:t>
            </w:r>
          </w:p>
        </w:tc>
      </w:tr>
      <w:tr w:rsidR="00325741" w:rsidRPr="00171731" w:rsidTr="0065270A">
        <w:trPr>
          <w:trHeight w:val="393"/>
          <w:jc w:val="center"/>
        </w:trPr>
        <w:tc>
          <w:tcPr>
            <w:tcW w:w="5662"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both"/>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Объём программы ординатуры</w:t>
            </w:r>
          </w:p>
        </w:tc>
        <w:tc>
          <w:tcPr>
            <w:tcW w:w="35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25741" w:rsidRPr="00171731" w:rsidRDefault="00325741" w:rsidP="0065270A">
            <w:pPr>
              <w:spacing w:after="0" w:line="240" w:lineRule="auto"/>
              <w:jc w:val="center"/>
              <w:rPr>
                <w:rFonts w:ascii="Times New Roman" w:eastAsia="Times New Roman" w:hAnsi="Times New Roman" w:cs="Times New Roman"/>
                <w:sz w:val="24"/>
                <w:szCs w:val="24"/>
                <w:lang w:eastAsia="ru-RU"/>
              </w:rPr>
            </w:pPr>
            <w:r w:rsidRPr="00171731">
              <w:rPr>
                <w:rFonts w:ascii="Times New Roman" w:eastAsia="Times New Roman" w:hAnsi="Times New Roman" w:cs="Times New Roman"/>
                <w:sz w:val="24"/>
                <w:szCs w:val="24"/>
                <w:lang w:eastAsia="ru-RU"/>
              </w:rPr>
              <w:t>120</w:t>
            </w:r>
          </w:p>
        </w:tc>
      </w:tr>
    </w:tbl>
    <w:p w:rsidR="00325741" w:rsidRPr="004C4C5A" w:rsidRDefault="00325741" w:rsidP="004C4C5A">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E81665" w:rsidRPr="004C4C5A" w:rsidRDefault="00E81665" w:rsidP="004C4C5A">
      <w:pPr>
        <w:spacing w:after="0" w:line="240" w:lineRule="auto"/>
        <w:jc w:val="both"/>
        <w:rPr>
          <w:rFonts w:ascii="Times New Roman" w:hAnsi="Times New Roman" w:cs="Times New Roman"/>
          <w:color w:val="000000" w:themeColor="text1"/>
          <w:sz w:val="24"/>
          <w:szCs w:val="24"/>
        </w:rPr>
      </w:pPr>
    </w:p>
    <w:sectPr w:rsidR="00E81665" w:rsidRPr="004C4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8DF"/>
    <w:rsid w:val="00325741"/>
    <w:rsid w:val="003479C4"/>
    <w:rsid w:val="004C4C5A"/>
    <w:rsid w:val="00D37227"/>
    <w:rsid w:val="00DE5E41"/>
    <w:rsid w:val="00E81665"/>
    <w:rsid w:val="00FA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D7D5E-2867-4B53-B9F3-E7FE4F28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826189">
      <w:bodyDiv w:val="1"/>
      <w:marLeft w:val="0"/>
      <w:marRight w:val="0"/>
      <w:marTop w:val="0"/>
      <w:marBottom w:val="0"/>
      <w:divBdr>
        <w:top w:val="none" w:sz="0" w:space="0" w:color="auto"/>
        <w:left w:val="none" w:sz="0" w:space="0" w:color="auto"/>
        <w:bottom w:val="none" w:sz="0" w:space="0" w:color="auto"/>
        <w:right w:val="none" w:sz="0" w:space="0" w:color="auto"/>
      </w:divBdr>
      <w:divsChild>
        <w:div w:id="56229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3272</Words>
  <Characters>18652</Characters>
  <Application>Microsoft Office Word</Application>
  <DocSecurity>0</DocSecurity>
  <Lines>155</Lines>
  <Paragraphs>43</Paragraphs>
  <ScaleCrop>false</ScaleCrop>
  <Company>SPecialiST RePack</Company>
  <LinksUpToDate>false</LinksUpToDate>
  <CharactersWithSpaces>21881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6</cp:revision>
  <dcterms:created xsi:type="dcterms:W3CDTF">2024-06-19T11:09:00Z</dcterms:created>
  <dcterms:modified xsi:type="dcterms:W3CDTF">2025-02-27T14:05:00Z</dcterms:modified>
</cp:coreProperties>
</file>